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2.png" ContentType="image/png"/>
  <Override PartName="/word/media/rId134.png" ContentType="image/png"/>
  <Override PartName="/word/media/rId138.png" ContentType="image/png"/>
  <Override PartName="/word/media/rId130.png" ContentType="image/png"/>
  <Override PartName="/word/media/rId28.png" ContentType="image/png"/>
  <Override PartName="/word/media/rId10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23-08-2024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w:t>
      </w:r>
      <w:r>
        <w:t xml:space="preserve"> </w:t>
      </w:r>
      <w:r>
        <w:t xml:space="preserve">Pacific-Salmon-Foundation (2020)</w:t>
      </w:r>
      <w:r>
        <w:t xml:space="preserve">).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4a0ed"/>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34 mapped small dams on</w:t>
      </w:r>
      <w:r>
        <w:t xml:space="preserve"> </w:t>
      </w:r>
      <w:r>
        <w:t xml:space="preserve">“</w:t>
      </w:r>
      <w:r>
        <w:t xml:space="preserve">potentially accessible</w:t>
      </w:r>
      <w:r>
        <w:t xml:space="preserve">”</w:t>
      </w:r>
      <w:r>
        <w:t xml:space="preserve"> </w:t>
      </w:r>
      <w:r>
        <w:t xml:space="preserve">stream segments in the watershed, blocking a total of 359.3 km (~67.16%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 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p>
      <w:pPr>
        <w:pStyle w:val="BodyText"/>
      </w:pPr>
    </w:p>
    <w:bookmarkStart w:id="59" w:name="T_2392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p>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r>
        <w:t xml:space="preserve"> </w:t>
      </w:r>
    </w:p>
    <w:bookmarkStart w:id="60" w:name="T_d233c"/>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84</w:t>
            </w:r>
          </w:p>
        </w:tc>
      </w:tr>
    </w:tbl>
    <w:bookmarkEnd w:id="60"/>
    <w:p>
      <w:pPr>
        <w:pStyle w:val="BodyText"/>
      </w:pPr>
    </w:p>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r>
        <w:t xml:space="preserve"> </w:t>
      </w:r>
    </w:p>
    <w:bookmarkStart w:id="61" w:name="T_2f6d0"/>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76</w:t>
            </w:r>
          </w:p>
        </w:tc>
      </w:tr>
    </w:tbl>
    <w:bookmarkEnd w:id="61"/>
    <w:p>
      <w:pPr>
        <w:pStyle w:val="BodyText"/>
      </w:pPr>
    </w:p>
    <w:bookmarkStart w:id="64" w:name="goals"/>
    <w:p>
      <w:pPr>
        <w:pStyle w:val="Heading2"/>
      </w:pPr>
      <w:r>
        <w:t xml:space="preserve">Goals</w:t>
      </w:r>
    </w:p>
    <w:p>
      <w:pPr>
        <w:pStyle w:val="FirstParagraph"/>
      </w:pPr>
    </w:p>
    <w:bookmarkStart w:id="63" w:name="tbl-goals"/>
    <w:bookmarkStart w:id="62" w:name="T_f9d57"/>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84%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76% to 90% within the Lower Nicola River watershed.</w:t>
            </w:r>
          </w:p>
        </w:tc>
      </w:tr>
    </w:tbl>
    <w:bookmarkEnd w:id="62"/>
    <w:bookmarkEnd w:id="63"/>
    <w:bookmarkEnd w:id="64"/>
    <w:bookmarkEnd w:id="65"/>
    <w:bookmarkStart w:id="78" w:name="barrier-prioritization"/>
    <w:p>
      <w:pPr>
        <w:pStyle w:val="Heading1"/>
      </w:pPr>
      <w:r>
        <w:t xml:space="preserve">Barrier Prioritization</w:t>
      </w:r>
    </w:p>
    <w:bookmarkStart w:id="77"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6"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69.33 km of modelled rearing habitat (</w:t>
      </w:r>
      <w:hyperlink w:anchor="tbl-table16">
        <w:r>
          <w:rPr>
            <w:rStyle w:val="Hyperlink"/>
          </w:rPr>
          <w:t xml:space="preserve">Table 3</w:t>
        </w:r>
      </w:hyperlink>
      <w:r>
        <w:t xml:space="preserve">).</w:t>
      </w:r>
    </w:p>
    <w:bookmarkStart w:id="70" w:name="tbl-table16"/>
    <w:bookmarkStart w:id="69" w:name="T_20974"/>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388.03</w:t>
            </w:r>
          </w:p>
        </w:tc>
        <w:tc>
          <w:tcPr/>
          <w:p>
            <w:pPr>
              <w:pStyle w:val="Compact"/>
              <w:jc w:val="left"/>
            </w:pPr>
            <w:r>
              <w:t xml:space="preserve">507.55</w:t>
            </w:r>
          </w:p>
        </w:tc>
        <w:tc>
          <w:tcPr/>
          <w:p>
            <w:pPr>
              <w:pStyle w:val="Compact"/>
              <w:jc w:val="left"/>
            </w:pPr>
            <w:r>
              <w:t xml:space="preserve">76.45%</w:t>
            </w:r>
          </w:p>
        </w:tc>
        <w:tc>
          <w:tcPr/>
          <w:p>
            <w:pPr>
              <w:pStyle w:val="Compact"/>
              <w:jc w:val="left"/>
            </w:pPr>
            <w:r>
              <w:t xml:space="preserve">90%</w:t>
            </w:r>
          </w:p>
        </w:tc>
        <w:tc>
          <w:tcPr/>
          <w:p>
            <w:pPr>
              <w:pStyle w:val="Compact"/>
              <w:jc w:val="left"/>
            </w:pPr>
            <w:r>
              <w:t xml:space="preserve">68.76</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 no road observed.</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 (LD Creek FSR)</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 target species.</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target species.</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gridCol w:w="1152"/>
        <w:gridCol w:w="1152"/>
        <w:gridCol w:w="1152"/>
        <w:gridCol w:w="1152"/>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 Completed to-date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Recommended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Irrigation dam does not appear to be blocking flows. Habitat not suitable for salmonids.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is a barrier but habitat not suitable for salmonids (though 1 rainbow trout captured)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Organic bed likely leads to oxygen depletion in summer. Slow flows through summer. Abundant sucker presence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has moderate quality habitat suitable for Rainbow Trout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advancing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barrier, excellent groundwater-influenced wetlands for Coho rearing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contribution of sediments from road/culvert impacting 200 m of spawning channel immediately downstream of culvert.</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from list or advance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0.23 m/s. CO fry, and L was captured.  Important Migratory Corridor for CO.</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 (1011304215a)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0.26 m/s. CO fry, and RB parr captured. Important Migratory Corridor for CO.</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 (1011301843)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0.22 m/s. CO fry captured.  Water is diverted upstream of Hwy 8 for irrigation purposes during the growing season and regulated by a manual irrigation gate. Most water was diverted during the assessment. In the fall, Mr. Miller (the property owner where the culvert is located) opens the gate to allow CO to spawn in the stream on his property. Important Migratory Corridor for CO.</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 (1011300751)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0.07 m/s. CO fry captured. Water is diverted upstream of Hwy 8 for irrigation purposes during the growing season and regulated by a manual irrigation gate. Most water was diverted during the assessment. Mr. Miller observed CO spawning upstream of Hwy 8 after the gate was opened in the fall. Important Migratory Corridor for CO.</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priority list or remove from consideration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Rainbow Trout stream with limited spawning potential for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Blown culvert adjacent to Zoht 14 identified by LNIB. Needs coordinates.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w:t>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gridCol w:w="1152"/>
        <w:gridCol w:w="1152"/>
        <w:gridCol w:w="1152"/>
        <w:gridCol w:w="115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Current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(adjacent to Mill Creek Road)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detailed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LNIB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Chinook, Coho stream</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OR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Backwater structure and reinforce banks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 being monitored for upcoming issues, and decide what should be done about the 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DFO, STC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KVR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Damaged bridge during 2021 flood - deck dropped by ~0.7 m. The debris jam ~70 m downstream is no longer a fish barrier. In the last two years, water flows caused downcutting under the jam and side channels around, passable to CO, ST, and RB at higher flows. The stream is passable to adult fish from the mouth. Only RB was captured in the stream. Moderate habitat value for RB and Important Migratory Corridor for CO and ST.</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p>
      <w:pPr>
        <w:pStyle w:val="BodyText"/>
      </w:pPr>
    </w:p>
    <w:bookmarkStart w:id="75" w:name="tbl-remove1"/>
    <w:bookmarkStart w:id="74" w:name="T_510d7"/>
    <w:p>
      <w:pPr>
        <w:pStyle w:val="TableCaption"/>
      </w:pPr>
      <w:r>
        <w:t xml:space="preserve">Table 4: List of barriers that were removed from consideration from first iteration of the intermediate barrier list (field assessments occurred during the 2021 field season). Removed following discussion with the planning team due to these structures not existing, being passable, not be associated with usable habitat, or deemed not feasible to remediate because of logistic considerations.</w:t>
      </w:r>
    </w:p>
    <w:tbl>
      <w:tblPr>
        <w:tblStyle w:val="Table"/>
        <w:tblW w:type="auto" w:w="0"/>
        <w:tblLook w:firstRow="1" w:lastRow="0" w:firstColumn="0" w:lastColumn="0" w:noHBand="0" w:noVBand="0" w:val="0020"/>
        <w:jc w:val="start"/>
        <w:tblCaption w:val="Table 4: List of barriers that were removed from consideration from first iteration of the intermediate barrier list (field assessments occurred during the 2021 field season). Removed following discussion with the planning team due to these structures not existing, being passable, not be associated with usable habitat, or deemed not feasible to remediate because of logistic considerations."/>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w:t>
            </w:r>
            <w:r>
              <w:t xml:space="preserve"> </w:t>
            </w:r>
            <w:r>
              <w:t xml:space="preserve">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1011301807</w:t>
            </w:r>
          </w:p>
        </w:tc>
        <w:tc>
          <w:tcPr/>
          <w:p>
            <w:pPr>
              <w:pStyle w:val="Compact"/>
              <w:jc w:val="left"/>
            </w:pPr>
            <w:r>
              <w:t xml:space="preserve">Brook Creek</w:t>
            </w:r>
          </w:p>
        </w:tc>
        <w:tc>
          <w:tcPr/>
          <w:p>
            <w:pPr>
              <w:pStyle w:val="Compact"/>
              <w:jc w:val="left"/>
            </w:pPr>
            <w:r>
              <w:t xml:space="preserve">No crossing</w:t>
            </w:r>
          </w:p>
        </w:tc>
        <w:tc>
          <w:tcPr/>
          <w:p>
            <w:pPr>
              <w:pStyle w:val="Compact"/>
              <w:jc w:val="left"/>
            </w:pPr>
            <w:r>
              <w:t xml:space="preserve">Crossing does not exist - no road observed.</w:t>
            </w:r>
          </w:p>
        </w:tc>
      </w:tr>
      <w:tr>
        <w:tc>
          <w:tcPr/>
          <w:p>
            <w:pPr>
              <w:pStyle w:val="Compact"/>
              <w:jc w:val="left"/>
            </w:pPr>
            <w:r>
              <w:t xml:space="preserve">196957</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 (LD Creek FSR)</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 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w:t>
            </w:r>
            <w:r>
              <w:t xml:space="preserve"> </w:t>
            </w:r>
            <w:r>
              <w:t xml:space="preserve">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bl>
    <w:bookmarkEnd w:id="74"/>
    <w:bookmarkEnd w:id="75"/>
    <w:p>
      <w:pPr>
        <w:pStyle w:val="BodyText"/>
      </w:pPr>
    </w:p>
    <w:bookmarkEnd w:id="76"/>
    <w:bookmarkEnd w:id="77"/>
    <w:bookmarkEnd w:id="78"/>
    <w:bookmarkStart w:id="87" w:name="work-planning"/>
    <w:p>
      <w:pPr>
        <w:pStyle w:val="Heading1"/>
      </w:pPr>
      <w:r>
        <w:t xml:space="preserve">Work Planning</w:t>
      </w:r>
    </w:p>
    <w:bookmarkStart w:id="79" w:name="annual-progress-report"/>
    <w:p>
      <w:pPr>
        <w:pStyle w:val="Heading2"/>
      </w:pPr>
      <w:r>
        <w:t xml:space="preserve">Annual Progress Report</w:t>
      </w:r>
    </w:p>
    <w:p>
      <w:pPr>
        <w:pStyle w:val="FirstParagraph"/>
      </w:pPr>
      <w:r>
        <w:t xml:space="preserve">The Lower Nicola Indian Band, Nooaitch Band, and Scw’exmx Tribal Council completed in-depth barrier assessments and habitat confirmations at several sites (Stumbles, Kwinshatin, Brook, Murray Lake, Midday creeks) on the intermediate barriers list. In addition, initial results from CWF’s drone imagery project to identify thermal refugia were developed and reviewed at a working group meeting with program partners in 2023.</w:t>
      </w:r>
    </w:p>
    <w:bookmarkEnd w:id="79"/>
    <w:bookmarkStart w:id="81" w:name="annual-work-plan"/>
    <w:p>
      <w:pPr>
        <w:pStyle w:val="Heading2"/>
      </w:pPr>
      <w:r>
        <w:t xml:space="preserve">Annual Work Plan</w:t>
      </w:r>
    </w:p>
    <w:bookmarkStart w:id="80"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Task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Participants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for next set of crossings?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Nooaitch, STC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June-July 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2023 and prior field results with WG and advance/reject crossings based on outcomes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lateral habitat report with partners working on lateral habitat identification in watershed to refine methods and identify sites to investigate in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NVIT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Meet with partners individually to get feedback 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-Which barriers to confirm as priorities based on 2023 field assessements and CWF's lateral barrier analysis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-Should CWF expand the WCRP to incorporate more lateral barrier actions, or instead support local iniatives to address lateral connectivity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Requires feedback from working group</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habitat confirmation on 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removal on 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Lower Nicola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80"/>
    <w:bookmarkEnd w:id="81"/>
    <w:bookmarkStart w:id="8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2" w:name="tbl-S1"/>
    <w:p>
      <w:pPr>
        <w:pStyle w:val="BodyText"/>
      </w:pPr>
      <w:r>
        <w:rPr>
          <w:bCs/>
          <w:b/>
        </w:rPr>
        <w:t xml:space="preserve">?(caption)</w:t>
      </w:r>
    </w:p>
    <w:bookmarkEnd w:id="82"/>
    <w:p>
      <w:pPr>
        <w:pStyle w:val="BodyText"/>
      </w:pPr>
    </w:p>
    <w:bookmarkStart w:id="84" w:name="tbl-opplan"/>
    <w:bookmarkStart w:id="83" w:name="T_68493"/>
    <w:p>
      <w:pPr>
        <w:pStyle w:val="TableCaption"/>
      </w:pPr>
      <w:r>
        <w:t xml:space="preserve">Table 5: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3"/>
    <w:bookmarkEnd w:id="84"/>
    <w:p>
      <w:pPr>
        <w:pStyle w:val="BodyText"/>
      </w:pPr>
    </w:p>
    <w:bookmarkStart w:id="85" w:name="tbl-fund"/>
    <w:p>
      <w:pPr>
        <w:pStyle w:val="BodyText"/>
      </w:pPr>
      <w:r>
        <w:rPr>
          <w:bCs/>
          <w:b/>
        </w:rPr>
        <w:t xml:space="preserve">?(caption)</w:t>
      </w:r>
    </w:p>
    <w:bookmarkEnd w:id="85"/>
    <w:bookmarkEnd w:id="86"/>
    <w:bookmarkEnd w:id="87"/>
    <w:bookmarkStart w:id="103" w:name="references"/>
    <w:p>
      <w:pPr>
        <w:pStyle w:val="Heading1"/>
      </w:pPr>
      <w:r>
        <w:t xml:space="preserve">References</w:t>
      </w:r>
    </w:p>
    <w:bookmarkStart w:id="102" w:name="refs"/>
    <w:bookmarkStart w:id="88"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8"/>
    <w:bookmarkStart w:id="89"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89"/>
    <w:bookmarkStart w:id="90"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0"/>
    <w:bookmarkStart w:id="91"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1"/>
    <w:bookmarkStart w:id="92"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2"/>
    <w:bookmarkStart w:id="93"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3"/>
    <w:bookmarkStart w:id="94"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94"/>
    <w:bookmarkStart w:id="95"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5"/>
    <w:bookmarkStart w:id="96"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6"/>
    <w:bookmarkStart w:id="97"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7"/>
    <w:bookmarkStart w:id="98"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8"/>
    <w:bookmarkStart w:id="99"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End w:id="102"/>
    <w:bookmarkEnd w:id="103"/>
    <w:bookmarkStart w:id="108" w:name="project-partners"/>
    <w:p>
      <w:pPr>
        <w:pStyle w:val="Heading1"/>
      </w:pPr>
      <w:r>
        <w:t xml:space="preserve">Project Partners</w:t>
      </w:r>
    </w:p>
    <w:bookmarkStart w:id="105" w:name="planning-team"/>
    <w:p>
      <w:pPr>
        <w:pStyle w:val="Heading3"/>
      </w:pPr>
      <w:r>
        <w:t xml:space="preserve">Planning Team</w:t>
      </w:r>
    </w:p>
    <w:bookmarkStart w:id="104"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04"/>
    <w:bookmarkEnd w:id="105"/>
    <w:bookmarkStart w:id="107" w:name="key-actors"/>
    <w:p>
      <w:pPr>
        <w:pStyle w:val="Heading3"/>
      </w:pPr>
      <w:r>
        <w:t xml:space="preserve">Key Actors</w:t>
      </w:r>
    </w:p>
    <w:bookmarkStart w:id="106"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06"/>
    <w:bookmarkEnd w:id="107"/>
    <w:bookmarkEnd w:id="108"/>
    <w:bookmarkStart w:id="149" w:name="supplementary-information"/>
    <w:p>
      <w:pPr>
        <w:pStyle w:val="Heading1"/>
      </w:pPr>
      <w:r>
        <w:t xml:space="preserve">Supplementary Information</w:t>
      </w:r>
    </w:p>
    <w:bookmarkStart w:id="113"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2" w:name="fig-sitan"/>
          <w:p>
            <w:pPr>
              <w:jc w:val="center"/>
            </w:pPr>
            <w:r>
              <w:drawing>
                <wp:inline>
                  <wp:extent cx="5334000" cy="3261523"/>
                  <wp:effectExtent b="0" l="0" r="0" t="0"/>
                  <wp:docPr descr="" title="" id="110" name="Picture"/>
                  <a:graphic>
                    <a:graphicData uri="http://schemas.openxmlformats.org/drawingml/2006/picture">
                      <pic:pic>
                        <pic:nvPicPr>
                          <pic:cNvPr descr="content/images/situation-analysis.png" id="111" name="Picture"/>
                          <pic:cNvPicPr>
                            <a:picLocks noChangeArrowheads="1" noChangeAspect="1"/>
                          </pic:cNvPicPr>
                        </pic:nvPicPr>
                        <pic:blipFill>
                          <a:blip r:embed="rId109"/>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12"/>
        </w:tc>
      </w:tr>
    </w:tbl>
    <w:bookmarkEnd w:id="113"/>
    <w:bookmarkStart w:id="114"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4"/>
    <w:bookmarkStart w:id="117" w:name="strategy-1-lateral-barrier-remediation"/>
    <w:p>
      <w:pPr>
        <w:pStyle w:val="Heading2"/>
      </w:pPr>
      <w:r>
        <w:t xml:space="preserve">Strategy 1: Lateral Barrier Remediation</w:t>
      </w:r>
    </w:p>
    <w:p>
      <w:pPr>
        <w:pStyle w:val="FirstParagraph"/>
      </w:pPr>
    </w:p>
    <w:bookmarkStart w:id="116" w:name="tbl-S1"/>
    <w:bookmarkStart w:id="115" w:name="T_f182f"/>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5"/>
    <w:bookmarkEnd w:id="116"/>
    <w:p>
      <w:pPr>
        <w:pStyle w:val="BodyText"/>
      </w:pPr>
    </w:p>
    <w:bookmarkEnd w:id="117"/>
    <w:bookmarkStart w:id="120" w:name="strategy-2-crossing-remidiation"/>
    <w:p>
      <w:pPr>
        <w:pStyle w:val="Heading2"/>
      </w:pPr>
      <w:r>
        <w:t xml:space="preserve">Strategy 2: Crossing Remidiation</w:t>
      </w:r>
    </w:p>
    <w:p>
      <w:pPr>
        <w:pStyle w:val="FirstParagraph"/>
      </w:pPr>
    </w:p>
    <w:bookmarkStart w:id="119" w:name="tbl-S2"/>
    <w:bookmarkStart w:id="118" w:name="T_29fe8"/>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18"/>
    <w:bookmarkEnd w:id="119"/>
    <w:p>
      <w:pPr>
        <w:pStyle w:val="BodyText"/>
      </w:pPr>
    </w:p>
    <w:bookmarkEnd w:id="120"/>
    <w:bookmarkStart w:id="123" w:name="strategy-3-dam-remediation"/>
    <w:p>
      <w:pPr>
        <w:pStyle w:val="Heading2"/>
      </w:pPr>
      <w:r>
        <w:t xml:space="preserve">Strategy 3: Dam Remediation</w:t>
      </w:r>
    </w:p>
    <w:p>
      <w:pPr>
        <w:pStyle w:val="FirstParagraph"/>
      </w:pPr>
    </w:p>
    <w:bookmarkStart w:id="122" w:name="tbl-S3"/>
    <w:bookmarkStart w:id="121" w:name="T_57d54"/>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1"/>
    <w:bookmarkEnd w:id="122"/>
    <w:p>
      <w:pPr>
        <w:pStyle w:val="BodyText"/>
      </w:pPr>
    </w:p>
    <w:bookmarkEnd w:id="123"/>
    <w:bookmarkStart w:id="126" w:name="strategy-4-barrier-prevention"/>
    <w:p>
      <w:pPr>
        <w:pStyle w:val="Heading2"/>
      </w:pPr>
      <w:r>
        <w:t xml:space="preserve">Strategy 4: Barrier Prevention</w:t>
      </w:r>
    </w:p>
    <w:p>
      <w:pPr>
        <w:pStyle w:val="FirstParagraph"/>
      </w:pPr>
    </w:p>
    <w:bookmarkStart w:id="125" w:name="tbl-S4"/>
    <w:bookmarkStart w:id="124" w:name="T_8a6ec"/>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24"/>
    <w:bookmarkEnd w:id="125"/>
    <w:p>
      <w:pPr>
        <w:pStyle w:val="BodyText"/>
      </w:pPr>
    </w:p>
    <w:bookmarkEnd w:id="126"/>
    <w:bookmarkStart w:id="129" w:name="strategy-5-communication-and-education"/>
    <w:p>
      <w:pPr>
        <w:pStyle w:val="Heading2"/>
      </w:pPr>
      <w:r>
        <w:t xml:space="preserve">Strategy 5: Communication and Education</w:t>
      </w:r>
    </w:p>
    <w:p>
      <w:pPr>
        <w:pStyle w:val="FirstParagraph"/>
      </w:pPr>
    </w:p>
    <w:bookmarkStart w:id="128" w:name="tbl-S5"/>
    <w:bookmarkStart w:id="127" w:name="T_9906f"/>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27"/>
    <w:bookmarkEnd w:id="128"/>
    <w:p>
      <w:pPr>
        <w:pStyle w:val="BodyText"/>
      </w:pPr>
    </w:p>
    <w:bookmarkEnd w:id="129"/>
    <w:bookmarkStart w:id="146"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3" w:name="fig-stra1"/>
          <w:p>
            <w:pPr>
              <w:jc w:val="center"/>
            </w:pPr>
            <w:r>
              <w:drawing>
                <wp:inline>
                  <wp:extent cx="5334000" cy="2944215"/>
                  <wp:effectExtent b="0" l="0" r="0" t="0"/>
                  <wp:docPr descr="" title="" id="131" name="Picture"/>
                  <a:graphic>
                    <a:graphicData uri="http://schemas.openxmlformats.org/drawingml/2006/picture">
                      <pic:pic>
                        <pic:nvPicPr>
                          <pic:cNvPr descr="content/images/flowchart-lat-bar-rem.png" id="132" name="Picture"/>
                          <pic:cNvPicPr>
                            <a:picLocks noChangeArrowheads="1" noChangeAspect="1"/>
                          </pic:cNvPicPr>
                        </pic:nvPicPr>
                        <pic:blipFill>
                          <a:blip r:embed="rId130"/>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3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7" w:name="fig-stra2"/>
          <w:p>
            <w:pPr>
              <w:jc w:val="center"/>
            </w:pPr>
            <w:r>
              <w:drawing>
                <wp:inline>
                  <wp:extent cx="5334000" cy="3008127"/>
                  <wp:effectExtent b="0" l="0" r="0" t="0"/>
                  <wp:docPr descr="" title="" id="135" name="Picture"/>
                  <a:graphic>
                    <a:graphicData uri="http://schemas.openxmlformats.org/drawingml/2006/picture">
                      <pic:pic>
                        <pic:nvPicPr>
                          <pic:cNvPr descr="content/images/flowchart-crossing-rem.png" id="136" name="Picture"/>
                          <pic:cNvPicPr>
                            <a:picLocks noChangeArrowheads="1" noChangeAspect="1"/>
                          </pic:cNvPicPr>
                        </pic:nvPicPr>
                        <pic:blipFill>
                          <a:blip r:embed="rId134"/>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3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1" w:name="fig-stra3"/>
          <w:p>
            <w:pPr>
              <w:jc w:val="center"/>
            </w:pPr>
            <w:r>
              <w:drawing>
                <wp:inline>
                  <wp:extent cx="5334000" cy="3336062"/>
                  <wp:effectExtent b="0" l="0" r="0" t="0"/>
                  <wp:docPr descr="" title="" id="139" name="Picture"/>
                  <a:graphic>
                    <a:graphicData uri="http://schemas.openxmlformats.org/drawingml/2006/picture">
                      <pic:pic>
                        <pic:nvPicPr>
                          <pic:cNvPr descr="content/images/flowchart-dam-rem.png" id="140" name="Picture"/>
                          <pic:cNvPicPr>
                            <a:picLocks noChangeArrowheads="1" noChangeAspect="1"/>
                          </pic:cNvPicPr>
                        </pic:nvPicPr>
                        <pic:blipFill>
                          <a:blip r:embed="rId138"/>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4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5" w:name="fig-stra4"/>
          <w:p>
            <w:pPr>
              <w:jc w:val="center"/>
            </w:pPr>
            <w:r>
              <w:drawing>
                <wp:inline>
                  <wp:extent cx="5334000" cy="3171224"/>
                  <wp:effectExtent b="0" l="0" r="0" t="0"/>
                  <wp:docPr descr="" title="" id="143" name="Picture"/>
                  <a:graphic>
                    <a:graphicData uri="http://schemas.openxmlformats.org/drawingml/2006/picture">
                      <pic:pic>
                        <pic:nvPicPr>
                          <pic:cNvPr descr="content/images/flowchart-bar-prevent.png" id="144" name="Picture"/>
                          <pic:cNvPicPr>
                            <a:picLocks noChangeArrowheads="1" noChangeAspect="1"/>
                          </pic:cNvPicPr>
                        </pic:nvPicPr>
                        <pic:blipFill>
                          <a:blip r:embed="rId142"/>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45"/>
        </w:tc>
      </w:tr>
    </w:tbl>
    <w:bookmarkEnd w:id="146"/>
    <w:bookmarkStart w:id="148" w:name="funding-sources"/>
    <w:p>
      <w:pPr>
        <w:pStyle w:val="Heading2"/>
      </w:pPr>
      <w:r>
        <w:t xml:space="preserve">Funding Sources</w:t>
      </w:r>
    </w:p>
    <w:bookmarkStart w:id="147"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7"/>
    <w:bookmarkEnd w:id="148"/>
    <w:bookmarkEnd w:id="149"/>
    <w:bookmarkStart w:id="152" w:name="data-download-and-methods"/>
    <w:p>
      <w:pPr>
        <w:pStyle w:val="Heading1"/>
      </w:pPr>
      <w:r>
        <w:t xml:space="preserve">Data Download and Methods</w:t>
      </w:r>
    </w:p>
    <w:bookmarkStart w:id="151"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50"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28" Target="media/rId28.png" /><Relationship Type="http://schemas.openxmlformats.org/officeDocument/2006/relationships/image" Id="rId109" Target="media/rId109.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Restoration Plan: 2021 - 2040</dc:title>
  <dc:creator>Canadian Wildlife Federation</dc:creator>
  <cp:keywords/>
  <dcterms:created xsi:type="dcterms:W3CDTF">2024-08-23T14:41:09Z</dcterms:created>
  <dcterms:modified xsi:type="dcterms:W3CDTF">2024-08-23T14:41:09Z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23-08-2024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